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48028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/>
        <w:rPr>
          <w:rFonts w:hint="default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附件1</w:t>
      </w:r>
    </w:p>
    <w:p w14:paraId="66FE782F">
      <w:pPr>
        <w:pageBreakBefore w:val="0"/>
        <w:kinsoku/>
        <w:overflowPunct/>
        <w:topLinePunct w:val="0"/>
        <w:autoSpaceDE/>
        <w:bidi w:val="0"/>
        <w:spacing w:line="560" w:lineRule="exact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采购需求及要求</w:t>
      </w:r>
    </w:p>
    <w:p w14:paraId="69E002C5">
      <w:pPr>
        <w:pageBreakBefore w:val="0"/>
        <w:numPr>
          <w:ilvl w:val="0"/>
          <w:numId w:val="1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2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项目名称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社区医馆家—禄劝县中医院特色诊疗综合体文化氛围营造项目</w:t>
      </w:r>
    </w:p>
    <w:p w14:paraId="170D8D6F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Chars="200" w:right="0" w:rightChars="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项目范围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屏山街道新街15号原县妇幼健康服务中心房产</w:t>
      </w:r>
    </w:p>
    <w:p w14:paraId="08BEBE2A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2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服务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期限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：合同签订后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15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个工作日内完成所有内容并通过验收。</w:t>
      </w:r>
    </w:p>
    <w:p w14:paraId="5F829588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left="0" w:leftChars="0" w:right="0" w:rightChars="0" w:firstLine="482" w:firstLineChars="200"/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四、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服务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要求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：</w:t>
      </w:r>
    </w:p>
    <w:p w14:paraId="34C0B82F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1.整体文化氛围营造设计需贴合中医院发展定位、中医传统文化特色以及社区医馆家服务属性，风格统一、简洁大气、适配诊疗场所环境，兼顾科普性、观赏性、实用性，符合医疗卫生场所相关规范要求。</w:t>
      </w:r>
    </w:p>
    <w:p w14:paraId="1A572561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2.所有建设内容、物料材质、施工工艺、安装标准必须严格遵照《禄劝县中医院“社区医馆家”文化氛围营造建设清单》执行，未经采购人书面同意，供应商不得擅自更改设计方案、物料规格、材质、施工内容。</w:t>
      </w:r>
    </w:p>
    <w:p w14:paraId="1FA0019F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3.供应商负责项目全过程工作，包含现场勘测、方案深化设计、样品确认、物料采购生产、运输配送、现场安装、垃圾清运、成品保护、调试整改、验收配合等全部环节，产生的所有费用均包含在总报价内。</w:t>
      </w:r>
    </w:p>
    <w:p w14:paraId="231392A3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4.合同签订后中标供应商进行实地考察，并制定文化氛围效果图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供采购方进行审定，审定通过方能进行制作安装。</w:t>
      </w:r>
    </w:p>
    <w:p w14:paraId="6CC3D18C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5.项目施工过程中，需遵守施工现场管理规定，做好安全防护措施，承担施工期间一切安全责任，严禁施工扰民，施工造成的场地损坏由供应商无偿修复。</w:t>
      </w:r>
    </w:p>
    <w:p w14:paraId="023E16AD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6.项目整体安装完成后，需达到采购人验收标准，实现一次性验收合格；初次验收不合格的，供应商需在采购人规定时限内无偿完成整改，直至验收通过。</w:t>
      </w:r>
    </w:p>
    <w:p w14:paraId="1A8A9BF2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7.项目施工期间产生的人员安全、劳资纠纷、环保问题等，全部由供应商独立负责处理，采购人不承担任何连带责任。</w:t>
      </w:r>
    </w:p>
    <w:p w14:paraId="0BA23B50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8.本项目实施过程中产生的知识产权纠纷，由供应商全权负责并承担所有损失。</w:t>
      </w:r>
    </w:p>
    <w:p w14:paraId="60878EDC">
      <w:pPr>
        <w:pStyle w:val="2"/>
        <w:ind w:firstLine="480"/>
        <w:rPr>
          <w:rFonts w:hint="eastAsia" w:ascii="宋体" w:hAnsi="宋体" w:cs="宋体" w:eastAsiaTheme="minorEastAsia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</w:pPr>
    </w:p>
    <w:p w14:paraId="7CCCFF09">
      <w:pPr>
        <w:pStyle w:val="2"/>
        <w:ind w:firstLine="480"/>
        <w:rPr>
          <w:rFonts w:hint="eastAsia" w:ascii="宋体" w:hAnsi="宋体" w:cs="宋体" w:eastAsiaTheme="minorEastAsia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="宋体" w:hAnsi="宋体" w:cs="宋体" w:eastAsiaTheme="minorEastAsia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-SA"/>
        </w:rPr>
        <w:t>五、商务要求：</w:t>
      </w:r>
    </w:p>
    <w:p w14:paraId="53518596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>（一）报价要求</w:t>
      </w:r>
    </w:p>
    <w:p w14:paraId="438C182E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1.本项目报价为全包总价，采用固定总价模式，包含方案设计、材料、制作、人工、运输、装卸、安装、辅材、税费、垃圾清运、售后服务、现场协调等完成本项目全部工作的所有费用，采购人无需额外支付任何其他费用。</w:t>
      </w:r>
    </w:p>
    <w:p w14:paraId="737C2885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2.供应商应结合项目现场实际情况、建设清单内容自主报价，报价遗漏、预估不足等相关风险由供应商自行承担，合同履行期间采购人不接受任何调价申请。</w:t>
      </w:r>
    </w:p>
    <w:p w14:paraId="4B9E00F9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3.报价需符合市场行情，严禁恶意低价竞标，若报价明显低于市场合理成本，采购人有权否决其投标/参选资格。</w:t>
      </w:r>
    </w:p>
    <w:p w14:paraId="7B450557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（二）付款方式</w:t>
      </w:r>
    </w:p>
    <w:p w14:paraId="3BD8E95F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本项目无预付款，项目全部施工完成并一次性通过采购人正式验收后，供应商提交完整结算资料、等额合法有效发票，采购人在收到资料及发票后30个工作日内，一次性支付100%合同全款。</w:t>
      </w:r>
    </w:p>
    <w:p w14:paraId="17D8C33A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（三）质保服务</w:t>
      </w:r>
    </w:p>
    <w:p w14:paraId="61B16600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1.整体项目质保期不少于1年，自项目正式验收合格之日起计算；质保期内，所有物料出现褪色、变形、破损、脱落、故障等质量问题，供应商需在接到采购人通知后24小时内响应，48小时内无偿完成维修、更换、重新安装。</w:t>
      </w:r>
    </w:p>
    <w:p w14:paraId="430A1ADF">
      <w:pPr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spacing w:line="560" w:lineRule="exact"/>
        <w:ind w:right="0" w:rightChars="0" w:firstLine="480" w:firstLineChars="200"/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2.质保期内免费提供技术咨询、维护指导等配套服务；质保期满后，供应商需终身提供成本价维修服务。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0E19E5E-68AC-42CC-BE05-5BBA79EF9809}"/>
  </w:font>
  <w:font w:name="@MS PMincho">
    <w:altName w:val="@Yu Gothic UI"/>
    <w:panose1 w:val="00000000000000000000"/>
    <w:charset w:val="80"/>
    <w:family w:val="roman"/>
    <w:pitch w:val="default"/>
    <w:sig w:usb0="00000000" w:usb1="00000000" w:usb2="08000012" w:usb3="00000000" w:csb0="0002009F" w:csb1="00000000"/>
  </w:font>
  <w:font w:name="@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56353895-A383-423F-98CB-A010E5FDF0E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2720C7"/>
    <w:multiLevelType w:val="singleLevel"/>
    <w:tmpl w:val="FC2720C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xMTZlYmQyODc5NjA5ZTJmZjNmZWFmY2FiOGE1YWQifQ=="/>
  </w:docVars>
  <w:rsids>
    <w:rsidRoot w:val="5A824F32"/>
    <w:rsid w:val="03911568"/>
    <w:rsid w:val="329E499A"/>
    <w:rsid w:val="3DD44AC0"/>
    <w:rsid w:val="5A824F32"/>
    <w:rsid w:val="5D30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@MS PMincho" w:hAnsi="@MS PMincho" w:eastAsia="@MS PMincho" w:cs="@MS PMincho"/>
      <w:kern w:val="0"/>
      <w:sz w:val="24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2</Pages>
  <Words>1075</Words>
  <Characters>1095</Characters>
  <Lines>0</Lines>
  <Paragraphs>0</Paragraphs>
  <TotalTime>3</TotalTime>
  <ScaleCrop>false</ScaleCrop>
  <LinksUpToDate>false</LinksUpToDate>
  <CharactersWithSpaces>1095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2026-06-01T09:11:00Z</dcterms:created>
  <dc:creator>周春秀</dc:creator>
  <cp:lastModifiedBy>刘国定</cp:lastModifiedBy>
  <dcterms:modified xsi:type="dcterms:W3CDTF">2026-06-04T09:38:48Z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A82ED7C9D96845BC9D5EC335A9748607_11</vt:lpwstr>
  </property>
  <property fmtid="{D5CDD505-2E9C-101B-9397-08002B2CF9AE}" pid="4" name="KSOTemplateDocerSaveRecord">
    <vt:lpwstr>eyJoZGlkIjoiZDg2MGEwZGZkZGEyOWM0YzUwMTg0ZWFmOWEwZGRjOWIiLCJ1c2VySWQiOiIzNDQ2MjczMzUifQ==</vt:lpwstr>
  </property>
</Properties>
</file>